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E1404" w14:textId="77777777" w:rsidR="00342157" w:rsidRPr="00D5603A" w:rsidRDefault="00342157" w:rsidP="00251FBD">
      <w:pPr>
        <w:spacing w:after="0" w:line="240" w:lineRule="auto"/>
        <w:jc w:val="right"/>
        <w:rPr>
          <w:rFonts w:ascii="Calibri Light" w:hAnsi="Calibri Light"/>
          <w:i/>
          <w:sz w:val="20"/>
          <w:szCs w:val="20"/>
        </w:rPr>
      </w:pPr>
      <w:r w:rsidRPr="00D5603A">
        <w:rPr>
          <w:rFonts w:ascii="Calibri Light" w:hAnsi="Calibri Light"/>
          <w:i/>
          <w:sz w:val="20"/>
          <w:szCs w:val="20"/>
        </w:rPr>
        <w:t>Informacja prasowa</w:t>
      </w:r>
    </w:p>
    <w:p w14:paraId="0902AB3C" w14:textId="77777777" w:rsidR="00342157" w:rsidRPr="00D5603A" w:rsidRDefault="00342157" w:rsidP="00251FBD">
      <w:pPr>
        <w:spacing w:after="0" w:line="240" w:lineRule="auto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>05</w:t>
      </w:r>
      <w:r w:rsidRPr="00D5603A">
        <w:rPr>
          <w:rFonts w:ascii="Calibri Light" w:hAnsi="Calibri Light"/>
          <w:i/>
          <w:sz w:val="20"/>
          <w:szCs w:val="20"/>
        </w:rPr>
        <w:t>.</w:t>
      </w:r>
      <w:r>
        <w:rPr>
          <w:rFonts w:ascii="Calibri Light" w:hAnsi="Calibri Light"/>
          <w:i/>
          <w:sz w:val="20"/>
          <w:szCs w:val="20"/>
        </w:rPr>
        <w:t>05</w:t>
      </w:r>
      <w:r w:rsidRPr="00D5603A">
        <w:rPr>
          <w:rFonts w:ascii="Calibri Light" w:hAnsi="Calibri Light"/>
          <w:i/>
          <w:sz w:val="20"/>
          <w:szCs w:val="20"/>
        </w:rPr>
        <w:t>.201</w:t>
      </w:r>
      <w:r>
        <w:rPr>
          <w:rFonts w:ascii="Calibri Light" w:hAnsi="Calibri Light"/>
          <w:i/>
          <w:sz w:val="20"/>
          <w:szCs w:val="20"/>
        </w:rPr>
        <w:t>5</w:t>
      </w:r>
    </w:p>
    <w:p w14:paraId="466FCD20" w14:textId="77777777" w:rsidR="00342157" w:rsidRDefault="00342157" w:rsidP="002B58FE">
      <w:pPr>
        <w:spacing w:line="276" w:lineRule="auto"/>
        <w:jc w:val="center"/>
        <w:rPr>
          <w:rFonts w:ascii="Calibri Light" w:hAnsi="Calibri Light"/>
          <w:b/>
          <w:sz w:val="32"/>
          <w:szCs w:val="32"/>
        </w:rPr>
      </w:pPr>
    </w:p>
    <w:p w14:paraId="4A1D2488" w14:textId="77777777" w:rsidR="00342157" w:rsidRDefault="00342157" w:rsidP="002B58FE">
      <w:pPr>
        <w:spacing w:line="276" w:lineRule="auto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Nowoczesne dzielnice naukowo-biznesowe mogą przyspieszyć tempo zmian innowacyjności w polskich regionach </w:t>
      </w:r>
    </w:p>
    <w:p w14:paraId="5B0F626D" w14:textId="520EE62D" w:rsidR="00106367" w:rsidRPr="00550E44" w:rsidRDefault="00106367" w:rsidP="00106367">
      <w:pPr>
        <w:spacing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550E44">
        <w:rPr>
          <w:rFonts w:ascii="Calibri Light" w:hAnsi="Calibri Light"/>
          <w:b/>
          <w:sz w:val="24"/>
          <w:szCs w:val="24"/>
        </w:rPr>
        <w:t>Nowoczesne dzielnice biznesowo- naukowe w Polsce i w Europie to jeden z tematów wiodących konferencji „Przestrzenie przyszłości - dzielnice innowacji w Polsce i w Europie”</w:t>
      </w:r>
      <w:r w:rsidR="003F5A25">
        <w:rPr>
          <w:rFonts w:ascii="Calibri Light" w:hAnsi="Calibri Light"/>
          <w:b/>
          <w:sz w:val="24"/>
          <w:szCs w:val="24"/>
        </w:rPr>
        <w:t>,</w:t>
      </w:r>
      <w:r w:rsidRPr="00550E44">
        <w:rPr>
          <w:rFonts w:ascii="Calibri Light" w:hAnsi="Calibri Light"/>
          <w:b/>
          <w:sz w:val="24"/>
          <w:szCs w:val="24"/>
        </w:rPr>
        <w:t xml:space="preserve"> </w:t>
      </w:r>
      <w:r w:rsidR="003F5A25">
        <w:rPr>
          <w:rFonts w:ascii="Calibri Light" w:hAnsi="Calibri Light"/>
          <w:b/>
          <w:sz w:val="24"/>
          <w:szCs w:val="24"/>
        </w:rPr>
        <w:t>która</w:t>
      </w:r>
      <w:r w:rsidRPr="00550E44">
        <w:rPr>
          <w:rFonts w:ascii="Calibri Light" w:hAnsi="Calibri Light"/>
          <w:b/>
          <w:sz w:val="24"/>
          <w:szCs w:val="24"/>
        </w:rPr>
        <w:t xml:space="preserve"> odbędzie się 12 maja br. w Małej Auli Politechniki Warszawskiej. Organizatorami wydarzenia są Politechnika Warszawska oraz członkowie Kreatywnego Mazowsza – inicjatywy łączącej kluczowe podmioty z Mazowsza: instytucje samorządowe, uniwersytety oraz przedsiębiorstwa. Przedsięwzięcie organizowane jest w ramach obchodów 100-lecia Odnowienia Tradycji tej warszawskiej uczelni wyższej.  Patronat honorowy nad wydarzeniem objął Marszałek Województwa Mazowieckiego, </w:t>
      </w:r>
      <w:bookmarkStart w:id="0" w:name="_GoBack"/>
      <w:r w:rsidRPr="00550E44">
        <w:rPr>
          <w:rFonts w:ascii="Calibri Light" w:hAnsi="Calibri Light"/>
          <w:b/>
          <w:sz w:val="24"/>
          <w:szCs w:val="24"/>
        </w:rPr>
        <w:t xml:space="preserve">Adam </w:t>
      </w:r>
      <w:bookmarkEnd w:id="0"/>
      <w:r w:rsidRPr="00550E44">
        <w:rPr>
          <w:rFonts w:ascii="Calibri Light" w:hAnsi="Calibri Light"/>
          <w:b/>
          <w:sz w:val="24"/>
          <w:szCs w:val="24"/>
        </w:rPr>
        <w:t xml:space="preserve">Struzik, </w:t>
      </w:r>
      <w:r w:rsidR="003F5A25">
        <w:rPr>
          <w:rFonts w:ascii="Calibri Light" w:hAnsi="Calibri Light"/>
          <w:b/>
          <w:sz w:val="24"/>
          <w:szCs w:val="24"/>
        </w:rPr>
        <w:t xml:space="preserve">Ministerstwo Gospodarki, </w:t>
      </w:r>
      <w:r w:rsidRPr="00550E44">
        <w:rPr>
          <w:rFonts w:ascii="Calibri Light" w:hAnsi="Calibri Light"/>
          <w:b/>
          <w:sz w:val="24"/>
          <w:szCs w:val="24"/>
        </w:rPr>
        <w:t xml:space="preserve">oraz Narodowe Centrum Badań i Rozwoju. Partnerem merytorycznym konferencji jest Mazowiecka Jednostka Wdrażania Programów Unijnych. </w:t>
      </w:r>
    </w:p>
    <w:p w14:paraId="783FD473" w14:textId="77777777" w:rsidR="00106367" w:rsidRDefault="00106367" w:rsidP="00106367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 w:rsidRPr="004B0E2F">
        <w:rPr>
          <w:rFonts w:ascii="Calibri Light" w:hAnsi="Calibri Light"/>
          <w:sz w:val="24"/>
          <w:szCs w:val="24"/>
        </w:rPr>
        <w:t xml:space="preserve">Dzięki </w:t>
      </w:r>
      <w:r>
        <w:rPr>
          <w:rFonts w:ascii="Calibri Light" w:hAnsi="Calibri Light"/>
          <w:sz w:val="24"/>
          <w:szCs w:val="24"/>
        </w:rPr>
        <w:t xml:space="preserve">tworzeniu przestrzeni, gdzie mogą współdziałać uczelnie z biznesem przy wsparciu samorządów lokalnych możliwe jest nie tylko tworzenie innowacji, ale przede wszystkim fundamentów do stabilnego wzrostu gospodarczego oraz lepszych warunków życia wszystkich mieszkańców. - </w:t>
      </w:r>
      <w:r w:rsidRPr="004B0E2F">
        <w:rPr>
          <w:rFonts w:ascii="Calibri Light" w:hAnsi="Calibri Light"/>
          <w:i/>
          <w:sz w:val="24"/>
          <w:szCs w:val="24"/>
        </w:rPr>
        <w:t>Dzięki czerpaniu z najlepszych europejskich i światowych wzorców mamy szansę zniwelować dystans jaki mają do pokonania polskie regiony względem najbardziej innowacyjnych ośrodków w UE</w:t>
      </w:r>
      <w:r>
        <w:rPr>
          <w:rFonts w:ascii="Calibri Light" w:hAnsi="Calibri Light"/>
          <w:sz w:val="24"/>
          <w:szCs w:val="24"/>
        </w:rPr>
        <w:t xml:space="preserve"> - </w:t>
      </w:r>
      <w:r w:rsidRPr="00D705A5">
        <w:rPr>
          <w:rFonts w:ascii="Calibri Light" w:hAnsi="Calibri Light"/>
          <w:sz w:val="24"/>
          <w:szCs w:val="24"/>
        </w:rPr>
        <w:t>podsumowuje</w:t>
      </w:r>
      <w:r>
        <w:rPr>
          <w:rFonts w:ascii="Calibri Light" w:hAnsi="Calibri Light"/>
          <w:i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Łukasz Sztern, CIO Kreatywnego Mazowsza. </w:t>
      </w:r>
    </w:p>
    <w:p w14:paraId="43C62C59" w14:textId="77777777" w:rsidR="00550E44" w:rsidRDefault="00550E44" w:rsidP="00550E44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</w:t>
      </w:r>
      <w:r w:rsidRPr="00F95191">
        <w:rPr>
          <w:rFonts w:ascii="Calibri Light" w:hAnsi="Calibri Light"/>
          <w:i/>
          <w:sz w:val="24"/>
          <w:szCs w:val="24"/>
        </w:rPr>
        <w:t>Na tle regionu, Polska dysponuje największą liczą absolwentów wydziałów naukowych i technicznych zatrudnionych w regionalnych klastrach innowacyjnych, jednak w przypadku porównaniu wydatków na badania i rozwój wyprzedzają nas znacznie takie kraje jak Łotwa, Estonia, czy Czechy</w:t>
      </w:r>
      <w:r>
        <w:rPr>
          <w:rFonts w:ascii="Calibri Light" w:hAnsi="Calibri Light"/>
          <w:sz w:val="24"/>
          <w:szCs w:val="24"/>
        </w:rPr>
        <w:t xml:space="preserve"> – mówi Łukasz Sztern, </w:t>
      </w:r>
      <w:r w:rsidRPr="00AE23DE">
        <w:rPr>
          <w:rFonts w:ascii="Calibri Light" w:hAnsi="Calibri Light"/>
          <w:sz w:val="24"/>
          <w:szCs w:val="24"/>
        </w:rPr>
        <w:t>Chief Innovation Officer</w:t>
      </w:r>
      <w:r>
        <w:rPr>
          <w:rFonts w:ascii="Calibri Light" w:hAnsi="Calibri Light"/>
          <w:sz w:val="24"/>
          <w:szCs w:val="24"/>
        </w:rPr>
        <w:t xml:space="preserve"> w Kreatywnym Mazowszu. </w:t>
      </w:r>
    </w:p>
    <w:p w14:paraId="24A033D1" w14:textId="77777777" w:rsidR="00550E44" w:rsidRDefault="006810DD" w:rsidP="00550E44">
      <w:pPr>
        <w:spacing w:line="276" w:lineRule="auto"/>
        <w:jc w:val="center"/>
        <w:rPr>
          <w:rFonts w:ascii="Calibri Light" w:hAnsi="Calibri Light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85504E" wp14:editId="6866B06D">
            <wp:extent cx="4057650" cy="2276475"/>
            <wp:effectExtent l="0" t="0" r="0" b="9525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7648" r="15178" b="2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09877" w14:textId="77777777" w:rsidR="00550E44" w:rsidRDefault="00550E44" w:rsidP="00550E44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 xml:space="preserve">- Przykładowo </w:t>
      </w:r>
      <w:r w:rsidRPr="00FF404A">
        <w:rPr>
          <w:rFonts w:ascii="Calibri Light" w:hAnsi="Calibri Light"/>
          <w:i/>
          <w:sz w:val="24"/>
          <w:szCs w:val="24"/>
        </w:rPr>
        <w:t xml:space="preserve">Mazowsze dysponuje najlepszą infrastrukturę badawczą w Polsce, ale często </w:t>
      </w:r>
      <w:r>
        <w:rPr>
          <w:rFonts w:ascii="Calibri Light" w:hAnsi="Calibri Light"/>
          <w:i/>
          <w:sz w:val="24"/>
          <w:szCs w:val="24"/>
        </w:rPr>
        <w:t xml:space="preserve">jest ona </w:t>
      </w:r>
      <w:r w:rsidRPr="00FF404A">
        <w:rPr>
          <w:rFonts w:ascii="Calibri Light" w:hAnsi="Calibri Light"/>
          <w:i/>
          <w:sz w:val="24"/>
          <w:szCs w:val="24"/>
        </w:rPr>
        <w:t>niewykorzystan</w:t>
      </w:r>
      <w:r>
        <w:rPr>
          <w:rFonts w:ascii="Calibri Light" w:hAnsi="Calibri Light"/>
          <w:i/>
          <w:sz w:val="24"/>
          <w:szCs w:val="24"/>
        </w:rPr>
        <w:t>a</w:t>
      </w:r>
      <w:r w:rsidRPr="00FF404A">
        <w:rPr>
          <w:rFonts w:ascii="Calibri Light" w:hAnsi="Calibri Light"/>
          <w:i/>
          <w:sz w:val="24"/>
          <w:szCs w:val="24"/>
        </w:rPr>
        <w:t xml:space="preserve"> w zakresie w</w:t>
      </w:r>
      <w:r>
        <w:rPr>
          <w:rFonts w:ascii="Calibri Light" w:hAnsi="Calibri Light"/>
          <w:i/>
          <w:sz w:val="24"/>
          <w:szCs w:val="24"/>
        </w:rPr>
        <w:t xml:space="preserve">drażania rozwiązań biznesowych, z uwagi na brak </w:t>
      </w:r>
      <w:r>
        <w:rPr>
          <w:rFonts w:ascii="Calibri Light" w:hAnsi="Calibri Light"/>
          <w:i/>
          <w:sz w:val="24"/>
          <w:szCs w:val="24"/>
        </w:rPr>
        <w:lastRenderedPageBreak/>
        <w:t xml:space="preserve">dostatecznego wsparcia w zakresie </w:t>
      </w:r>
      <w:r w:rsidRPr="00FF404A">
        <w:rPr>
          <w:rFonts w:ascii="Calibri Light" w:hAnsi="Calibri Light"/>
          <w:i/>
          <w:sz w:val="24"/>
          <w:szCs w:val="24"/>
        </w:rPr>
        <w:t>transfer</w:t>
      </w:r>
      <w:r>
        <w:rPr>
          <w:rFonts w:ascii="Calibri Light" w:hAnsi="Calibri Light"/>
          <w:i/>
          <w:sz w:val="24"/>
          <w:szCs w:val="24"/>
        </w:rPr>
        <w:t>u</w:t>
      </w:r>
      <w:r w:rsidRPr="00FF404A">
        <w:rPr>
          <w:rFonts w:ascii="Calibri Light" w:hAnsi="Calibri Light"/>
          <w:i/>
          <w:sz w:val="24"/>
          <w:szCs w:val="24"/>
        </w:rPr>
        <w:t xml:space="preserve"> technologii </w:t>
      </w:r>
      <w:r>
        <w:rPr>
          <w:rFonts w:ascii="Calibri Light" w:hAnsi="Calibri Light"/>
          <w:i/>
          <w:sz w:val="24"/>
          <w:szCs w:val="24"/>
        </w:rPr>
        <w:t>i instytucji otoczenia biznesu, które mogą wspierać powstawanie innowacji</w:t>
      </w:r>
      <w:r>
        <w:rPr>
          <w:rFonts w:ascii="Calibri Light" w:hAnsi="Calibri Light"/>
          <w:sz w:val="24"/>
          <w:szCs w:val="24"/>
        </w:rPr>
        <w:t>. – dodaje Sztern.</w:t>
      </w:r>
    </w:p>
    <w:p w14:paraId="1915E845" w14:textId="77777777" w:rsidR="00342157" w:rsidRPr="00550E44" w:rsidRDefault="00342157" w:rsidP="00550E44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 w:rsidRPr="00550E44">
        <w:rPr>
          <w:rFonts w:ascii="Calibri Light" w:hAnsi="Calibri Light"/>
          <w:sz w:val="24"/>
          <w:szCs w:val="24"/>
        </w:rPr>
        <w:t>Dzielnice innowacji, przestrzenie kreatywne w miastach i nowoczesne dzielnice naukowo-biznesowe decydują obecnie o tempie innowacyjności całych regionów w Unii Europejskiej i na świecie. By polska gospodarka mogła konkurować z najbardziej innowacyjnymi regionami w UE, takimi jak Szwecja - dalej Dania, Niemcy i Finlandia, które inwestują najwięcej środków w badania naukowe i innowacje, konieczna jest nie tylko nowoczesna infrastruktura badawcza, środki finansowe, dzięki którym możliwe jest prowadzenie prac B+R, ale również odpowiednie podejście i zarządzanie, dzięki któremu stymulowany jest wzrost innowacyjnych projektów, zakładane są nowe firmy i wdrażane są rozwiązania, dzięki którym w regionach podwyższa się jakość życia.</w:t>
      </w:r>
    </w:p>
    <w:p w14:paraId="787C6D23" w14:textId="77777777" w:rsidR="00342157" w:rsidRDefault="00342157" w:rsidP="002B58FE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3F3804">
        <w:rPr>
          <w:rFonts w:ascii="Calibri Light" w:hAnsi="Calibri Light"/>
          <w:sz w:val="24"/>
          <w:szCs w:val="24"/>
        </w:rPr>
        <w:t>Takie miasta jak  Barcelona, Berlin czy Kopenhaga to miejsca, gdzie konsekwentnie od lat realizowane są projekty, dzięki którym nie tylko zwiększono innowacyjność całych regionów, ale również w znaczący sposób poprawiono jakość życia mieszkańców.</w:t>
      </w:r>
      <w:r>
        <w:rPr>
          <w:rFonts w:ascii="Calibri Light" w:hAnsi="Calibri Light"/>
          <w:sz w:val="24"/>
          <w:szCs w:val="24"/>
        </w:rPr>
        <w:t xml:space="preserve">  </w:t>
      </w:r>
    </w:p>
    <w:p w14:paraId="5873E242" w14:textId="77777777" w:rsidR="00342157" w:rsidRDefault="006810DD" w:rsidP="00F95191">
      <w:pPr>
        <w:spacing w:line="276" w:lineRule="auto"/>
        <w:jc w:val="center"/>
        <w:rPr>
          <w:rFonts w:ascii="Calibri Light" w:hAnsi="Calibri Light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68B3B9C" wp14:editId="667AACBB">
            <wp:extent cx="3524250" cy="1981200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20287" r="15012" b="10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BD245" w14:textId="77777777" w:rsidR="00342157" w:rsidRDefault="00342157" w:rsidP="004B0E2F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Przykładem projektu, który zmienił postrzeganie całego regionu jest Berlin </w:t>
      </w:r>
      <w:r w:rsidRPr="008D1341">
        <w:rPr>
          <w:rFonts w:ascii="Calibri Light" w:hAnsi="Calibri Light"/>
          <w:sz w:val="24"/>
          <w:szCs w:val="24"/>
        </w:rPr>
        <w:t>Adlershof</w:t>
      </w:r>
      <w:r>
        <w:rPr>
          <w:rFonts w:ascii="Calibri Light" w:hAnsi="Calibri Light"/>
          <w:sz w:val="24"/>
          <w:szCs w:val="24"/>
        </w:rPr>
        <w:t>, czyli berlińska dzielnica, w której mieści się największy niemiecki park</w:t>
      </w:r>
      <w:r w:rsidRPr="00816A67">
        <w:rPr>
          <w:rFonts w:ascii="Calibri Light" w:hAnsi="Calibri Light"/>
          <w:sz w:val="24"/>
          <w:szCs w:val="24"/>
        </w:rPr>
        <w:t xml:space="preserve"> naukowo</w:t>
      </w:r>
      <w:r>
        <w:rPr>
          <w:rFonts w:ascii="Calibri Light" w:hAnsi="Calibri Light"/>
          <w:sz w:val="24"/>
          <w:szCs w:val="24"/>
        </w:rPr>
        <w:t>-technologiczny. N</w:t>
      </w:r>
      <w:r w:rsidRPr="00180172">
        <w:rPr>
          <w:rFonts w:ascii="Calibri Light" w:hAnsi="Calibri Light"/>
          <w:sz w:val="24"/>
          <w:szCs w:val="24"/>
        </w:rPr>
        <w:t>a powierzchni 4,2 km</w:t>
      </w:r>
      <w:r w:rsidRPr="00180172">
        <w:rPr>
          <w:rFonts w:ascii="Calibri Light" w:hAnsi="Calibri Light"/>
          <w:sz w:val="24"/>
          <w:szCs w:val="24"/>
          <w:vertAlign w:val="superscript"/>
        </w:rPr>
        <w:t>2</w:t>
      </w:r>
      <w:r w:rsidRPr="00180172">
        <w:rPr>
          <w:rFonts w:ascii="Calibri Light" w:hAnsi="Calibri Light"/>
          <w:sz w:val="24"/>
          <w:szCs w:val="24"/>
        </w:rPr>
        <w:t xml:space="preserve"> jaką zajmuje Adlershof sw</w:t>
      </w:r>
      <w:r>
        <w:rPr>
          <w:rFonts w:ascii="Calibri Light" w:hAnsi="Calibri Light"/>
          <w:sz w:val="24"/>
          <w:szCs w:val="24"/>
        </w:rPr>
        <w:t>oją</w:t>
      </w:r>
      <w:r w:rsidRPr="00180172">
        <w:rPr>
          <w:rFonts w:ascii="Calibri Light" w:hAnsi="Calibri Light"/>
          <w:sz w:val="24"/>
          <w:szCs w:val="24"/>
        </w:rPr>
        <w:t xml:space="preserve"> siedzibę ma ponad 1000 firm i instytutów badawczych. Adlershof jest miejscem pracy ponad  15,5 tysiąca osób ludzi oraz ponad 9,4 tysiąca studentów. „Podstawową” infrastrukturę tworzy Park Naukowo-Technologiczny z 459 firmami i dziesięcioma instytutami badawczymi</w:t>
      </w:r>
      <w:r>
        <w:rPr>
          <w:rFonts w:ascii="Calibri Light" w:hAnsi="Calibri Light"/>
          <w:sz w:val="24"/>
          <w:szCs w:val="24"/>
        </w:rPr>
        <w:t>.</w:t>
      </w:r>
    </w:p>
    <w:p w14:paraId="707E882A" w14:textId="77777777" w:rsidR="00342157" w:rsidRDefault="00342157" w:rsidP="00CC5AEF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</w:t>
      </w:r>
      <w:r w:rsidRPr="00180172">
        <w:rPr>
          <w:rFonts w:ascii="Calibri Light" w:hAnsi="Calibri Light"/>
          <w:sz w:val="24"/>
          <w:szCs w:val="24"/>
        </w:rPr>
        <w:t>artość dochodów Adlershof zbliża</w:t>
      </w:r>
      <w:r>
        <w:rPr>
          <w:rFonts w:ascii="Calibri Light" w:hAnsi="Calibri Light"/>
          <w:sz w:val="24"/>
          <w:szCs w:val="24"/>
        </w:rPr>
        <w:t xml:space="preserve"> się do kwoty 1,8 miliarda euro, zaś p</w:t>
      </w:r>
      <w:r w:rsidRPr="00180172">
        <w:rPr>
          <w:rFonts w:ascii="Calibri Light" w:hAnsi="Calibri Light"/>
          <w:sz w:val="24"/>
          <w:szCs w:val="24"/>
        </w:rPr>
        <w:t xml:space="preserve">rzychody Parku Technologicznego </w:t>
      </w:r>
      <w:r>
        <w:rPr>
          <w:rFonts w:ascii="Calibri Light" w:hAnsi="Calibri Light"/>
          <w:sz w:val="24"/>
          <w:szCs w:val="24"/>
        </w:rPr>
        <w:t>to blisko</w:t>
      </w:r>
      <w:r w:rsidRPr="00180172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700</w:t>
      </w:r>
      <w:r w:rsidRPr="00180172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mln</w:t>
      </w:r>
      <w:r w:rsidRPr="00180172">
        <w:rPr>
          <w:rFonts w:ascii="Calibri Light" w:hAnsi="Calibri Light"/>
          <w:sz w:val="24"/>
          <w:szCs w:val="24"/>
        </w:rPr>
        <w:t xml:space="preserve"> euro, </w:t>
      </w:r>
      <w:r>
        <w:rPr>
          <w:rFonts w:ascii="Calibri Light" w:hAnsi="Calibri Light"/>
          <w:sz w:val="24"/>
          <w:szCs w:val="24"/>
        </w:rPr>
        <w:t xml:space="preserve">przy niespełna 20 proc. udziale dotacji wynoszącym </w:t>
      </w:r>
      <w:r w:rsidRPr="00180172">
        <w:rPr>
          <w:rFonts w:ascii="Calibri Light" w:hAnsi="Calibri Light"/>
          <w:sz w:val="24"/>
          <w:szCs w:val="24"/>
        </w:rPr>
        <w:t xml:space="preserve"> 23,5 mln euro.</w:t>
      </w:r>
      <w:r>
        <w:rPr>
          <w:rFonts w:ascii="Calibri Light" w:hAnsi="Calibri Light"/>
          <w:sz w:val="24"/>
          <w:szCs w:val="24"/>
        </w:rPr>
        <w:t xml:space="preserve"> Adlershof swój sukces zawdzięcza min. profesjonalnemu zarządzaniu, które koncentruje się min. na budowie</w:t>
      </w:r>
      <w:r w:rsidRPr="00907A96">
        <w:rPr>
          <w:rFonts w:ascii="Calibri Light" w:hAnsi="Calibri Light"/>
          <w:sz w:val="24"/>
          <w:szCs w:val="24"/>
        </w:rPr>
        <w:t xml:space="preserve"> trwałego pozytywnego wizerunku Adlershof</w:t>
      </w:r>
      <w:r>
        <w:rPr>
          <w:rFonts w:ascii="Calibri Light" w:hAnsi="Calibri Light"/>
          <w:sz w:val="24"/>
          <w:szCs w:val="24"/>
        </w:rPr>
        <w:t xml:space="preserve">, zapewnieniu </w:t>
      </w:r>
      <w:r w:rsidRPr="00CC5AEF">
        <w:rPr>
          <w:rFonts w:ascii="Calibri Light" w:hAnsi="Calibri Light"/>
          <w:sz w:val="24"/>
          <w:szCs w:val="24"/>
        </w:rPr>
        <w:t>wysokiej jakości infrastruktura teleinformatyczna oraz drogow</w:t>
      </w:r>
      <w:r>
        <w:rPr>
          <w:rFonts w:ascii="Calibri Light" w:hAnsi="Calibri Light"/>
          <w:sz w:val="24"/>
          <w:szCs w:val="24"/>
        </w:rPr>
        <w:t>ej</w:t>
      </w:r>
      <w:r w:rsidRPr="00CC5AEF">
        <w:rPr>
          <w:rFonts w:ascii="Calibri Light" w:hAnsi="Calibri Light"/>
          <w:sz w:val="24"/>
          <w:szCs w:val="24"/>
        </w:rPr>
        <w:t xml:space="preserve"> (w tym transpor</w:t>
      </w:r>
      <w:r>
        <w:rPr>
          <w:rFonts w:ascii="Calibri Light" w:hAnsi="Calibri Light"/>
          <w:sz w:val="24"/>
          <w:szCs w:val="24"/>
        </w:rPr>
        <w:t>tu</w:t>
      </w:r>
      <w:r w:rsidRPr="00CC5AEF">
        <w:rPr>
          <w:rFonts w:ascii="Calibri Light" w:hAnsi="Calibri Light"/>
          <w:sz w:val="24"/>
          <w:szCs w:val="24"/>
        </w:rPr>
        <w:t xml:space="preserve"> publiczn</w:t>
      </w:r>
      <w:r>
        <w:rPr>
          <w:rFonts w:ascii="Calibri Light" w:hAnsi="Calibri Light"/>
          <w:sz w:val="24"/>
          <w:szCs w:val="24"/>
        </w:rPr>
        <w:t>ego</w:t>
      </w:r>
      <w:r w:rsidRPr="00CC5AEF">
        <w:rPr>
          <w:rFonts w:ascii="Calibri Light" w:hAnsi="Calibri Light"/>
          <w:sz w:val="24"/>
          <w:szCs w:val="24"/>
        </w:rPr>
        <w:t>, co jest szczególnie istotne w przypadku ograniczonych możliwości w zakresie bud</w:t>
      </w:r>
      <w:r>
        <w:rPr>
          <w:rFonts w:ascii="Calibri Light" w:hAnsi="Calibri Light"/>
          <w:sz w:val="24"/>
          <w:szCs w:val="24"/>
        </w:rPr>
        <w:t>owy nowych miejsc parkingowych), oraz</w:t>
      </w:r>
      <w:r w:rsidRPr="00CC5AEF">
        <w:rPr>
          <w:rFonts w:ascii="Calibri Light" w:hAnsi="Calibri Light"/>
          <w:sz w:val="24"/>
          <w:szCs w:val="24"/>
        </w:rPr>
        <w:t xml:space="preserve"> zapewnieni</w:t>
      </w:r>
      <w:r>
        <w:rPr>
          <w:rFonts w:ascii="Calibri Light" w:hAnsi="Calibri Light"/>
          <w:sz w:val="24"/>
          <w:szCs w:val="24"/>
        </w:rPr>
        <w:t>u</w:t>
      </w:r>
      <w:r w:rsidRPr="00CC5AEF">
        <w:rPr>
          <w:rFonts w:ascii="Calibri Light" w:hAnsi="Calibri Light"/>
          <w:sz w:val="24"/>
          <w:szCs w:val="24"/>
        </w:rPr>
        <w:t xml:space="preserve"> wysokiej jakości kadr usługowych</w:t>
      </w:r>
      <w:r>
        <w:rPr>
          <w:rFonts w:ascii="Calibri Light" w:hAnsi="Calibri Light"/>
          <w:sz w:val="24"/>
          <w:szCs w:val="24"/>
        </w:rPr>
        <w:t>.</w:t>
      </w:r>
    </w:p>
    <w:p w14:paraId="413AB110" w14:textId="77777777" w:rsidR="00342157" w:rsidRDefault="00342157" w:rsidP="00550E44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8D3D6F">
        <w:rPr>
          <w:rFonts w:ascii="Calibri Light" w:hAnsi="Calibri Light"/>
          <w:sz w:val="24"/>
          <w:szCs w:val="24"/>
        </w:rPr>
        <w:t xml:space="preserve">Swój udział w konferencji potwierdzili już min. Walter Herriot- profesor Hertfordshire University, założyciel St John’s Innovation Centre w Cambridge, odznaczony Nagrodą Królowej </w:t>
      </w:r>
      <w:r w:rsidRPr="008D3D6F">
        <w:rPr>
          <w:rFonts w:ascii="Calibri Light" w:hAnsi="Calibri Light"/>
          <w:sz w:val="24"/>
          <w:szCs w:val="24"/>
        </w:rPr>
        <w:lastRenderedPageBreak/>
        <w:t>Brytyjskiej za promocję przedsiębiorczości oraz Floris de Gelder dyrektor Utrecht Science Park. Wśród panelistów obecny będzie także Prof. Christoph Mandl, University of Vienna – specjalista w zakresie innowacji.</w:t>
      </w:r>
      <w:r>
        <w:rPr>
          <w:rFonts w:ascii="Calibri Light" w:hAnsi="Calibri Light"/>
          <w:sz w:val="24"/>
          <w:szCs w:val="24"/>
        </w:rPr>
        <w:t xml:space="preserve"> </w:t>
      </w:r>
    </w:p>
    <w:p w14:paraId="03A78BC2" w14:textId="77777777" w:rsidR="00342157" w:rsidRDefault="00342157" w:rsidP="00BF700E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 w:rsidRPr="008D3D6F">
        <w:rPr>
          <w:rFonts w:ascii="Calibri Light" w:hAnsi="Calibri Light"/>
          <w:sz w:val="24"/>
          <w:szCs w:val="24"/>
        </w:rPr>
        <w:t xml:space="preserve">Celem konferencji jest wymiana najlepszych praktyk dotyczących budowy ekosystemu wspierania innowacyjnego biznesu. Podczas jej trwania przedstawiciele świata nauki, samorządów oraz biznesu </w:t>
      </w:r>
      <w:r>
        <w:rPr>
          <w:rFonts w:ascii="Calibri Light" w:hAnsi="Calibri Light"/>
          <w:sz w:val="24"/>
          <w:szCs w:val="24"/>
        </w:rPr>
        <w:t xml:space="preserve">będą mogli się zapoznać z </w:t>
      </w:r>
      <w:r w:rsidRPr="008D3D6F">
        <w:rPr>
          <w:rFonts w:ascii="Calibri Light" w:hAnsi="Calibri Light"/>
          <w:sz w:val="24"/>
          <w:szCs w:val="24"/>
        </w:rPr>
        <w:t>przykład</w:t>
      </w:r>
      <w:r>
        <w:rPr>
          <w:rFonts w:ascii="Calibri Light" w:hAnsi="Calibri Light"/>
          <w:sz w:val="24"/>
          <w:szCs w:val="24"/>
        </w:rPr>
        <w:t>ami funkcjonowania</w:t>
      </w:r>
      <w:r w:rsidRPr="008D3D6F">
        <w:rPr>
          <w:rFonts w:ascii="Calibri Light" w:hAnsi="Calibri Light"/>
          <w:sz w:val="24"/>
          <w:szCs w:val="24"/>
        </w:rPr>
        <w:t xml:space="preserve"> dzielnic innowacji powstałych jako efekt współpracy pomiędzy samorządami</w:t>
      </w:r>
      <w:r>
        <w:rPr>
          <w:rFonts w:ascii="Calibri Light" w:hAnsi="Calibri Light"/>
          <w:sz w:val="24"/>
          <w:szCs w:val="24"/>
        </w:rPr>
        <w:t>, środowiskami naukowymi</w:t>
      </w:r>
      <w:r w:rsidRPr="008D3D6F">
        <w:rPr>
          <w:rFonts w:ascii="Calibri Light" w:hAnsi="Calibri Light"/>
          <w:sz w:val="24"/>
          <w:szCs w:val="24"/>
        </w:rPr>
        <w:t xml:space="preserve"> a jednostkami biznesowymi. </w:t>
      </w:r>
    </w:p>
    <w:p w14:paraId="4DA935E4" w14:textId="77777777" w:rsidR="001A36B1" w:rsidRPr="001A36B1" w:rsidRDefault="001A36B1" w:rsidP="00BF700E">
      <w:pPr>
        <w:spacing w:line="240" w:lineRule="auto"/>
        <w:jc w:val="both"/>
        <w:rPr>
          <w:rFonts w:ascii="Calibri Light" w:hAnsi="Calibri Light"/>
          <w:sz w:val="20"/>
          <w:szCs w:val="20"/>
        </w:rPr>
      </w:pPr>
      <w:r w:rsidRPr="001A36B1">
        <w:rPr>
          <w:rFonts w:ascii="Calibri Light" w:hAnsi="Calibri Light"/>
          <w:sz w:val="20"/>
          <w:szCs w:val="20"/>
        </w:rPr>
        <w:t xml:space="preserve">Więcej informacji na temat konferencji znajduje się na stronie: </w:t>
      </w:r>
      <w:hyperlink r:id="rId8" w:history="1">
        <w:r w:rsidRPr="001A36B1">
          <w:rPr>
            <w:rStyle w:val="Hipercze"/>
            <w:rFonts w:ascii="Calibri Light" w:hAnsi="Calibri Light"/>
            <w:sz w:val="20"/>
            <w:szCs w:val="20"/>
          </w:rPr>
          <w:t>http://www.kreatywnemazowsze.pl/konferencja/</w:t>
        </w:r>
      </w:hyperlink>
      <w:r w:rsidRPr="001A36B1">
        <w:rPr>
          <w:rFonts w:ascii="Calibri Light" w:hAnsi="Calibri Light"/>
          <w:sz w:val="20"/>
          <w:szCs w:val="20"/>
        </w:rPr>
        <w:t xml:space="preserve"> </w:t>
      </w:r>
    </w:p>
    <w:sectPr w:rsidR="001A36B1" w:rsidRPr="001A36B1" w:rsidSect="007563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EA4F1" w14:textId="77777777" w:rsidR="00CD7DDF" w:rsidRDefault="00CD7DDF" w:rsidP="002B58FE">
      <w:pPr>
        <w:spacing w:after="0" w:line="240" w:lineRule="auto"/>
      </w:pPr>
      <w:r>
        <w:separator/>
      </w:r>
    </w:p>
  </w:endnote>
  <w:endnote w:type="continuationSeparator" w:id="0">
    <w:p w14:paraId="390C31FD" w14:textId="77777777" w:rsidR="00CD7DDF" w:rsidRDefault="00CD7DDF" w:rsidP="002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3DD6E" w14:textId="77777777" w:rsidR="00CD7DDF" w:rsidRDefault="00CD7DDF" w:rsidP="002B58FE">
      <w:pPr>
        <w:spacing w:after="0" w:line="240" w:lineRule="auto"/>
      </w:pPr>
      <w:r>
        <w:separator/>
      </w:r>
    </w:p>
  </w:footnote>
  <w:footnote w:type="continuationSeparator" w:id="0">
    <w:p w14:paraId="0C8DA889" w14:textId="77777777" w:rsidR="00CD7DDF" w:rsidRDefault="00CD7DDF" w:rsidP="002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08BC1" w14:textId="77777777" w:rsidR="00342157" w:rsidRDefault="00342157">
    <w:pPr>
      <w:pStyle w:val="Nagwek"/>
    </w:pPr>
  </w:p>
  <w:p w14:paraId="76DE3F54" w14:textId="77777777" w:rsidR="00342157" w:rsidRDefault="00342157">
    <w:pPr>
      <w:pStyle w:val="Nagwek"/>
    </w:pPr>
  </w:p>
  <w:p w14:paraId="47308003" w14:textId="77777777" w:rsidR="00342157" w:rsidRDefault="00342157">
    <w:pPr>
      <w:pStyle w:val="Nagwek"/>
    </w:pPr>
  </w:p>
  <w:p w14:paraId="2AABCEBB" w14:textId="77777777" w:rsidR="00342157" w:rsidRDefault="006810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F3B11D" wp14:editId="19DE8FDC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1095375" cy="1095375"/>
          <wp:effectExtent l="0" t="0" r="9525" b="9525"/>
          <wp:wrapThrough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hrough>
          <wp:docPr id="1" name="Obraz 1" descr="Macintosh HD:Users:ebert:Documents:dokumenty 2013:kreatywne mazowsze:kreatywne mazowsze logo:kreatywne-mazows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cintosh HD:Users:ebert:Documents:dokumenty 2013:kreatywne mazowsze:kreatywne mazowsze logo:kreatywne-mazowsz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FE"/>
    <w:rsid w:val="00032277"/>
    <w:rsid w:val="00052047"/>
    <w:rsid w:val="00086973"/>
    <w:rsid w:val="000B208C"/>
    <w:rsid w:val="000E3A83"/>
    <w:rsid w:val="00106367"/>
    <w:rsid w:val="001100DE"/>
    <w:rsid w:val="00163C0C"/>
    <w:rsid w:val="00177054"/>
    <w:rsid w:val="00180172"/>
    <w:rsid w:val="001A2DF7"/>
    <w:rsid w:val="001A36B1"/>
    <w:rsid w:val="001A64AD"/>
    <w:rsid w:val="001B7B34"/>
    <w:rsid w:val="00251FBD"/>
    <w:rsid w:val="00256EFC"/>
    <w:rsid w:val="00267AA9"/>
    <w:rsid w:val="00270BEE"/>
    <w:rsid w:val="002B322D"/>
    <w:rsid w:val="002B58FE"/>
    <w:rsid w:val="002E4A41"/>
    <w:rsid w:val="002E597C"/>
    <w:rsid w:val="00340DE5"/>
    <w:rsid w:val="00342157"/>
    <w:rsid w:val="0034719C"/>
    <w:rsid w:val="003E49F3"/>
    <w:rsid w:val="003F3804"/>
    <w:rsid w:val="003F53FE"/>
    <w:rsid w:val="003F5A25"/>
    <w:rsid w:val="00400B76"/>
    <w:rsid w:val="00443123"/>
    <w:rsid w:val="004B0E2F"/>
    <w:rsid w:val="004D16BB"/>
    <w:rsid w:val="0051129B"/>
    <w:rsid w:val="00550E44"/>
    <w:rsid w:val="00552FD2"/>
    <w:rsid w:val="005A1CE9"/>
    <w:rsid w:val="005C714A"/>
    <w:rsid w:val="005E4BB6"/>
    <w:rsid w:val="005F70BB"/>
    <w:rsid w:val="00611D5E"/>
    <w:rsid w:val="00653323"/>
    <w:rsid w:val="006810DD"/>
    <w:rsid w:val="00682D44"/>
    <w:rsid w:val="006A2DE1"/>
    <w:rsid w:val="00703C90"/>
    <w:rsid w:val="0075633A"/>
    <w:rsid w:val="007D6DA4"/>
    <w:rsid w:val="008166C3"/>
    <w:rsid w:val="00816A67"/>
    <w:rsid w:val="00834580"/>
    <w:rsid w:val="008D1341"/>
    <w:rsid w:val="008D3D6F"/>
    <w:rsid w:val="008F744E"/>
    <w:rsid w:val="00902530"/>
    <w:rsid w:val="00907A96"/>
    <w:rsid w:val="0096322F"/>
    <w:rsid w:val="009C20C3"/>
    <w:rsid w:val="00A2433B"/>
    <w:rsid w:val="00A73121"/>
    <w:rsid w:val="00AD004D"/>
    <w:rsid w:val="00AE23DE"/>
    <w:rsid w:val="00AE2CD5"/>
    <w:rsid w:val="00AF12DF"/>
    <w:rsid w:val="00AF1C13"/>
    <w:rsid w:val="00B1519C"/>
    <w:rsid w:val="00B43B6F"/>
    <w:rsid w:val="00B96850"/>
    <w:rsid w:val="00BC3CF3"/>
    <w:rsid w:val="00BF700E"/>
    <w:rsid w:val="00C508F0"/>
    <w:rsid w:val="00C50A78"/>
    <w:rsid w:val="00C94D65"/>
    <w:rsid w:val="00CA7AE6"/>
    <w:rsid w:val="00CB0F7B"/>
    <w:rsid w:val="00CB320A"/>
    <w:rsid w:val="00CB4BAF"/>
    <w:rsid w:val="00CC5AEF"/>
    <w:rsid w:val="00CD7DDF"/>
    <w:rsid w:val="00D3080B"/>
    <w:rsid w:val="00D3097E"/>
    <w:rsid w:val="00D5603A"/>
    <w:rsid w:val="00D705A5"/>
    <w:rsid w:val="00D75B91"/>
    <w:rsid w:val="00E31554"/>
    <w:rsid w:val="00E3362C"/>
    <w:rsid w:val="00EF5218"/>
    <w:rsid w:val="00EF6FC1"/>
    <w:rsid w:val="00F27EE0"/>
    <w:rsid w:val="00F32E9B"/>
    <w:rsid w:val="00F47E86"/>
    <w:rsid w:val="00F57C93"/>
    <w:rsid w:val="00F95191"/>
    <w:rsid w:val="00FE5F64"/>
    <w:rsid w:val="00FF404A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36F33"/>
  <w15:docId w15:val="{9CDCE6CE-158F-48E0-A92D-E6ED996A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8F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58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58F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63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6FC1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47E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7E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F12DF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F12DF"/>
    <w:rPr>
      <w:rFonts w:cs="Times New Roman"/>
      <w:b/>
      <w:bCs/>
      <w:sz w:val="20"/>
      <w:szCs w:val="20"/>
      <w:lang w:eastAsia="en-US"/>
    </w:rPr>
  </w:style>
  <w:style w:type="character" w:customStyle="1" w:styleId="hps">
    <w:name w:val="hps"/>
    <w:basedOn w:val="Domylnaczcionkaakapitu"/>
    <w:uiPriority w:val="99"/>
    <w:rsid w:val="0018017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A3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atywnemazowsze.pl/konferencj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Daniel G</dc:creator>
  <cp:keywords/>
  <dc:description/>
  <cp:lastModifiedBy>Daniel G</cp:lastModifiedBy>
  <cp:revision>2</cp:revision>
  <dcterms:created xsi:type="dcterms:W3CDTF">2015-05-05T09:31:00Z</dcterms:created>
  <dcterms:modified xsi:type="dcterms:W3CDTF">2015-05-05T09:31:00Z</dcterms:modified>
</cp:coreProperties>
</file>